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Nucleo di Valutazione</w:t>
      </w: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Unione di Comuni “Alta Marmilla”</w:t>
      </w:r>
    </w:p>
    <w:p>
      <w:pPr>
        <w:keepNext w:val="true"/>
        <w:suppressAutoHyphens w:val="true"/>
        <w:spacing w:before="120" w:after="0" w:line="32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COMUNE DI GONNOSNO’</w:t>
      </w:r>
    </w:p>
    <w:p>
      <w:pPr>
        <w:keepNext w:val="true"/>
        <w:suppressAutoHyphens w:val="true"/>
        <w:spacing w:before="120" w:after="0" w:line="32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120" w:after="0" w:line="32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Documento di attestazione </w:t>
      </w:r>
    </w:p>
    <w:p>
      <w:pPr>
        <w:keepNext w:val="true"/>
        <w:suppressAutoHyphens w:val="true"/>
        <w:spacing w:before="120" w:after="0" w:line="32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120" w:after="0" w:line="240"/>
        <w:ind w:right="0" w:left="717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Nucleo di Valutazione del Comune di Gonnosnò, ai sensi dell’art. 14, c. 4, lett. g), del d.lgs. n. 150/2009 e delle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delibere A.N.AC. n. 1310/2016 e 236/2017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, ha effettuato la verifica sulla pubblicazione, sulla completezza, sull’aggiornamento e sull’apertura del formato di ciascun documento, dato ed informazione elencati nell’Allegato 2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Griglia di rilevazione al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31 marzo 2017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della delibera n. 236/2017.</w:t>
      </w:r>
    </w:p>
    <w:p>
      <w:pPr>
        <w:keepNext w:val="true"/>
        <w:numPr>
          <w:ilvl w:val="0"/>
          <w:numId w:val="3"/>
        </w:numPr>
        <w:tabs>
          <w:tab w:val="left" w:pos="0" w:leader="none"/>
        </w:tabs>
        <w:suppressAutoHyphens w:val="true"/>
        <w:spacing w:before="120" w:after="0" w:line="240"/>
        <w:ind w:right="0" w:left="717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Nucleo di Valutazione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>
      <w:pPr>
        <w:keepNext w:val="true"/>
        <w:suppressAutoHyphens w:val="true"/>
        <w:spacing w:before="120" w:after="0" w:line="240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Sulla base di quanto sopra, il Nucleo di Valutazione, ai sensi dell’art. 14, c. 4, lett. g), del d.lgs. n. 150/2009</w:t>
      </w:r>
    </w:p>
    <w:p>
      <w:pPr>
        <w:keepNext w:val="true"/>
        <w:suppressAutoHyphens w:val="true"/>
        <w:spacing w:before="120" w:after="0" w:line="240"/>
        <w:ind w:right="0" w:left="36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12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ATTESTA</w:t>
      </w:r>
    </w:p>
    <w:p>
      <w:pPr>
        <w:keepNext w:val="true"/>
        <w:widowControl w:val="false"/>
        <w:suppressAutoHyphens w:val="true"/>
        <w:spacing w:before="120" w:after="0" w:line="240"/>
        <w:ind w:right="0" w:left="38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suppressAutoHyphens w:val="true"/>
        <w:spacing w:before="120" w:after="0" w:line="240"/>
        <w:ind w:right="0" w:left="38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veridicitàe l’attendibilità, alla data dell’attestazione, di quanto riportato nell’Allegato 2 rispetto a quanto pubblicato sul sito dell’Ente. </w:t>
      </w:r>
    </w:p>
    <w:p>
      <w:pPr>
        <w:keepNext w:val="true"/>
        <w:widowControl w:val="false"/>
        <w:suppressAutoHyphens w:val="true"/>
        <w:spacing w:before="120" w:after="0" w:line="240"/>
        <w:ind w:right="0" w:left="38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griglia, la presente attestazione e la relativa scheda di sintesi dovranno essere pubblicati sul sito internet dell’Ente all’interno della “Amministrazione trasparente”, sotto-sezione di I livello “Controlli e rilievi sull’amministrazione”, sotto-sezione di II livello “Organismi indipendenti di valutazione, nuclei di valutazione o altri organismi con funzioni analoghe”. </w:t>
      </w:r>
    </w:p>
    <w:p>
      <w:pPr>
        <w:keepNext w:val="true"/>
        <w:widowControl w:val="false"/>
        <w:suppressAutoHyphens w:val="true"/>
        <w:spacing w:before="120" w:after="0" w:line="240"/>
        <w:ind w:right="0" w:left="388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widowControl w:val="false"/>
        <w:tabs>
          <w:tab w:val="left" w:pos="8789" w:leader="none"/>
          <w:tab w:val="left" w:pos="9781" w:leader="none"/>
        </w:tabs>
        <w:suppressAutoHyphens w:val="true"/>
        <w:spacing w:before="0" w:after="0" w:line="276"/>
        <w:ind w:right="-1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120" w:after="0" w:line="32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Data: 24/04/2017</w:t>
      </w:r>
    </w:p>
    <w:p>
      <w:pPr>
        <w:keepNext w:val="true"/>
        <w:suppressAutoHyphens w:val="true"/>
        <w:spacing w:before="120" w:after="0" w:line="32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120" w:after="12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Il Nucleo di Valutazione</w:t>
      </w:r>
    </w:p>
    <w:tbl>
      <w:tblPr/>
      <w:tblGrid>
        <w:gridCol w:w="3259"/>
        <w:gridCol w:w="3259"/>
        <w:gridCol w:w="3260"/>
      </w:tblGrid>
      <w:tr>
        <w:trPr>
          <w:trHeight w:val="1" w:hRule="atLeast"/>
          <w:jc w:val="left"/>
        </w:trPr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F.to Dott.ssa Cristiana Dessì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Presidente</w:t>
            </w:r>
          </w:p>
        </w:tc>
        <w:tc>
          <w:tcPr>
            <w:tcW w:w="32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F.to Dott. Fabio Fulghesu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Garamond" w:hAnsi="Garamond" w:cs="Garamond" w:eastAsia="Garamond"/>
                <w:color w:val="auto"/>
                <w:spacing w:val="0"/>
                <w:position w:val="0"/>
                <w:sz w:val="24"/>
                <w:shd w:fill="auto" w:val="clear"/>
              </w:rPr>
              <w:t xml:space="preserve">Componente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keepNext w:val="true"/>
        <w:suppressAutoHyphens w:val="true"/>
        <w:spacing w:before="120" w:after="0" w:line="32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240" w:line="320"/>
        <w:ind w:right="0" w:left="4956" w:firstLine="0"/>
        <w:jc w:val="righ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240" w:line="320"/>
        <w:ind w:right="0" w:left="4956" w:firstLine="0"/>
        <w:jc w:val="righ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pageBreakBefore w:val="true"/>
        <w:numPr>
          <w:ilvl w:val="0"/>
          <w:numId w:val="15"/>
        </w:numPr>
        <w:tabs>
          <w:tab w:val="left" w:pos="432" w:leader="none"/>
        </w:tabs>
        <w:suppressAutoHyphens w:val="true"/>
        <w:spacing w:before="240" w:after="240" w:line="240"/>
        <w:ind w:right="0" w:left="432" w:hanging="432"/>
        <w:jc w:val="center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Scheda di sintesi sulla rilevazione del Nucleo di Valutazione</w:t>
      </w:r>
    </w:p>
    <w:p>
      <w:pPr>
        <w:keepNext w:val="true"/>
        <w:suppressAutoHyphens w:val="true"/>
        <w:spacing w:before="0" w:after="12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120" w:line="360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Data di svolgimento della rilevazione</w:t>
      </w:r>
    </w:p>
    <w:p>
      <w:pPr>
        <w:keepNext w:val="true"/>
        <w:suppressAutoHyphens w:val="true"/>
        <w:spacing w:before="0" w:after="12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24 aprile 2017</w:t>
      </w:r>
    </w:p>
    <w:p>
      <w:pPr>
        <w:keepNext w:val="true"/>
        <w:suppressAutoHyphens w:val="true"/>
        <w:spacing w:before="0" w:after="12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Estensione della rilevazione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uppressAutoHyphens w:val="true"/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L’Ente non è strutturato con uffici periferici e articolazioni organizzative autonome.</w:t>
      </w:r>
    </w:p>
    <w:p>
      <w:pPr>
        <w:keepNext w:val="true"/>
        <w:suppressAutoHyphens w:val="true"/>
        <w:spacing w:before="0" w:after="0" w:line="276"/>
        <w:ind w:right="0" w:left="72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120" w:line="360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Procedure e modalità seguite per la rilevazione 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000000"/>
          <w:spacing w:val="0"/>
          <w:position w:val="0"/>
          <w:sz w:val="24"/>
          <w:shd w:fill="auto" w:val="clear"/>
        </w:rPr>
        <w:t xml:space="preserve">L’organo di valutazione ha proceduto alla verifica del contenuto di tutte le sotto-sezioni oggetto del controllo. In particolare, nel corso della rilevazione, si è provveduto a:</w:t>
      </w:r>
    </w:p>
    <w:p>
      <w:pPr>
        <w:keepNext w:val="true"/>
        <w:numPr>
          <w:ilvl w:val="0"/>
          <w:numId w:val="24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verificare l’attività svolta dal Responsabile della prevenzione della corruzione e della trasparenza per riscontrare l’adempimento degli obblighi di pubblicazione;</w:t>
      </w:r>
    </w:p>
    <w:p>
      <w:pPr>
        <w:keepNext w:val="true"/>
        <w:numPr>
          <w:ilvl w:val="0"/>
          <w:numId w:val="24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interloquire con i responsabili della produzione e pubblicazione dei dati;</w:t>
      </w:r>
    </w:p>
    <w:p>
      <w:pPr>
        <w:keepNext w:val="true"/>
        <w:numPr>
          <w:ilvl w:val="0"/>
          <w:numId w:val="24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verificare la documentazione inserita all’interno delle sotto-sezioni del sito istituzionale oggetto di attestazione.</w:t>
      </w:r>
    </w:p>
    <w:p>
      <w:pPr>
        <w:keepNext w:val="true"/>
        <w:suppressAutoHyphens w:val="true"/>
        <w:spacing w:before="0" w:after="120" w:line="36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keepNext w:val="true"/>
        <w:suppressAutoHyphens w:val="true"/>
        <w:spacing w:before="0" w:after="120" w:line="360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Aspetti critici riscontrati nel corso della rilevazione</w:t>
      </w:r>
    </w:p>
    <w:p>
      <w:pPr>
        <w:keepNext w:val="true"/>
        <w:suppressAutoHyphens w:val="true"/>
        <w:spacing w:before="0" w:after="12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Nessuno. </w:t>
      </w:r>
    </w:p>
    <w:p>
      <w:pPr>
        <w:keepNext w:val="true"/>
        <w:suppressAutoHyphens w:val="true"/>
        <w:spacing w:before="0" w:after="12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Si suggerisce, tuttavia, di garantire l’apertura del formato per tutti i documenti pubblicati nella sezione “Amministrazione Trasparente”.</w:t>
      </w:r>
    </w:p>
    <w:p>
      <w:pPr>
        <w:keepNext w:val="true"/>
        <w:suppressAutoHyphens w:val="true"/>
        <w:spacing w:before="0" w:after="120" w:line="360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Eventuale documentazione da allegare</w:t>
      </w:r>
    </w:p>
    <w:p>
      <w:pPr>
        <w:keepNext w:val="true"/>
        <w:suppressAutoHyphens w:val="true"/>
        <w:spacing w:before="0" w:after="12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Nessuna. </w:t>
      </w:r>
    </w:p>
    <w:p>
      <w:pPr>
        <w:keepNext w:val="true"/>
        <w:suppressAutoHyphens w:val="true"/>
        <w:spacing w:before="0" w:after="120" w:line="276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Nucleo evidenzia di aver provveduto a conservare traccia documentale (di carattere informatico) su un campione delle pubblicazioni riferito alla data di rilevazione.</w:t>
      </w:r>
    </w:p>
    <w:p>
      <w:pPr>
        <w:keepNext w:val="true"/>
        <w:suppressAutoHyphens w:val="true"/>
        <w:spacing w:before="0" w:after="120" w:line="360"/>
        <w:ind w:right="0" w:left="0" w:firstLine="0"/>
        <w:jc w:val="both"/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240" w:line="320"/>
        <w:ind w:right="0" w:left="4956" w:firstLine="0"/>
        <w:jc w:val="righ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15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